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0FBF" w:rsidRPr="00136459" w:rsidRDefault="00136459" w:rsidP="00AC0FBF">
      <w:pPr>
        <w:pStyle w:val="Pa0"/>
        <w:rPr>
          <w:rStyle w:val="A2"/>
          <w:rFonts w:ascii="Verdana" w:hAnsi="Verdana"/>
          <w:sz w:val="24"/>
          <w:szCs w:val="24"/>
        </w:rPr>
      </w:pPr>
      <w:r w:rsidRPr="00136459">
        <w:rPr>
          <w:rStyle w:val="A2"/>
          <w:rFonts w:ascii="Verdana" w:hAnsi="Verdana"/>
          <w:b w:val="0"/>
          <w:sz w:val="24"/>
          <w:szCs w:val="24"/>
        </w:rPr>
        <w:t>Topic 3b</w:t>
      </w:r>
      <w:r w:rsidRPr="00136459">
        <w:rPr>
          <w:rStyle w:val="A2"/>
          <w:rFonts w:ascii="Verdana" w:hAnsi="Verdana"/>
          <w:sz w:val="24"/>
          <w:szCs w:val="24"/>
        </w:rPr>
        <w:t xml:space="preserve"> | </w:t>
      </w:r>
      <w:r w:rsidR="00AC0FBF" w:rsidRPr="00136459">
        <w:rPr>
          <w:rStyle w:val="A2"/>
          <w:rFonts w:ascii="Verdana" w:hAnsi="Verdana"/>
          <w:sz w:val="24"/>
          <w:szCs w:val="24"/>
        </w:rPr>
        <w:t xml:space="preserve">Human </w:t>
      </w:r>
      <w:r w:rsidR="00AC0FBF" w:rsidRPr="00136459">
        <w:rPr>
          <w:rStyle w:val="A2"/>
          <w:rFonts w:ascii="Verdana" w:hAnsi="Verdana"/>
          <w:bCs w:val="0"/>
          <w:sz w:val="24"/>
          <w:szCs w:val="24"/>
        </w:rPr>
        <w:t>R</w:t>
      </w:r>
      <w:r w:rsidR="00AC0FBF" w:rsidRPr="00136459">
        <w:rPr>
          <w:rStyle w:val="A2"/>
          <w:rFonts w:ascii="Verdana" w:hAnsi="Verdana"/>
          <w:sz w:val="24"/>
          <w:szCs w:val="24"/>
        </w:rPr>
        <w:t>ig</w:t>
      </w:r>
      <w:r w:rsidR="00AC0FBF" w:rsidRPr="00136459">
        <w:rPr>
          <w:rStyle w:val="A2"/>
          <w:rFonts w:ascii="Verdana" w:hAnsi="Verdana"/>
          <w:bCs w:val="0"/>
          <w:sz w:val="24"/>
          <w:szCs w:val="24"/>
        </w:rPr>
        <w:t>h</w:t>
      </w:r>
      <w:r w:rsidR="00AC0FBF" w:rsidRPr="00136459">
        <w:rPr>
          <w:rStyle w:val="A2"/>
          <w:rFonts w:ascii="Verdana" w:hAnsi="Verdana"/>
          <w:sz w:val="24"/>
          <w:szCs w:val="24"/>
        </w:rPr>
        <w:t>ts and t</w:t>
      </w:r>
      <w:r w:rsidR="00AC0FBF" w:rsidRPr="00136459">
        <w:rPr>
          <w:rStyle w:val="A2"/>
          <w:rFonts w:ascii="Verdana" w:hAnsi="Verdana"/>
          <w:bCs w:val="0"/>
          <w:sz w:val="24"/>
          <w:szCs w:val="24"/>
        </w:rPr>
        <w:t>he A</w:t>
      </w:r>
      <w:r w:rsidR="00AC0FBF" w:rsidRPr="00136459">
        <w:rPr>
          <w:rStyle w:val="A2"/>
          <w:rFonts w:ascii="Verdana" w:hAnsi="Verdana"/>
          <w:sz w:val="24"/>
          <w:szCs w:val="24"/>
        </w:rPr>
        <w:t>dministration of Justic</w:t>
      </w:r>
      <w:r w:rsidR="00AC0FBF" w:rsidRPr="00136459">
        <w:rPr>
          <w:rStyle w:val="A2"/>
          <w:rFonts w:ascii="Verdana" w:hAnsi="Verdana"/>
          <w:bCs w:val="0"/>
          <w:sz w:val="24"/>
          <w:szCs w:val="24"/>
        </w:rPr>
        <w:t>e</w:t>
      </w:r>
      <w:r w:rsidR="00AC0FBF" w:rsidRPr="00136459">
        <w:rPr>
          <w:rStyle w:val="A2"/>
          <w:rFonts w:ascii="Verdana" w:hAnsi="Verdana"/>
          <w:sz w:val="24"/>
          <w:szCs w:val="24"/>
        </w:rPr>
        <w:t xml:space="preserve">  </w:t>
      </w:r>
    </w:p>
    <w:p w:rsidR="00AC0FBF" w:rsidRPr="00136459" w:rsidRDefault="00AC0FBF" w:rsidP="00AC0FBF">
      <w:pPr>
        <w:pStyle w:val="Default"/>
        <w:rPr>
          <w:rFonts w:ascii="Verdana" w:hAnsi="Verdana"/>
          <w:sz w:val="20"/>
          <w:szCs w:val="20"/>
        </w:rPr>
      </w:pPr>
    </w:p>
    <w:p w:rsidR="00AC0FBF" w:rsidRPr="00136459" w:rsidRDefault="00AC0FBF" w:rsidP="00AC0FBF">
      <w:pPr>
        <w:pStyle w:val="Pa0"/>
        <w:rPr>
          <w:rFonts w:ascii="Verdana" w:hAnsi="Verdana"/>
          <w:color w:val="000000"/>
          <w:sz w:val="20"/>
          <w:szCs w:val="20"/>
        </w:rPr>
      </w:pPr>
      <w:r w:rsidRPr="00136459">
        <w:rPr>
          <w:rStyle w:val="A3"/>
          <w:rFonts w:ascii="Verdana" w:hAnsi="Verdana"/>
        </w:rPr>
        <w:t xml:space="preserve">Following World War II, the Universal Declaration of Human Rights (UDHR) comprised the first international legal effort that limited the action of states and championed basic rights and freedoms on a global scale. The document specifically declares individual rights in areas such as freedom of religion and belief, rights to life, liberty, and security of the person, the right not to be subject to cruel, inhuman, and degrading punishment, and the right to an effective remedy to violations of human rights in national tribunals. Human rights have been significantly expanded in the 20th and 21st centuries through groundbreaking United Nations resolutions as well as the creation of key institutions such as the Human Rights Council. </w:t>
      </w:r>
    </w:p>
    <w:p w:rsidR="00AC0FBF" w:rsidRPr="00136459" w:rsidRDefault="00AC0FBF" w:rsidP="00AC0FBF">
      <w:pPr>
        <w:pStyle w:val="Pa0"/>
        <w:rPr>
          <w:rStyle w:val="A3"/>
          <w:rFonts w:ascii="Verdana" w:hAnsi="Verdana"/>
        </w:rPr>
      </w:pPr>
    </w:p>
    <w:p w:rsidR="00AC0FBF" w:rsidRPr="00136459" w:rsidRDefault="00AC0FBF" w:rsidP="00AC0FBF">
      <w:pPr>
        <w:pStyle w:val="Pa0"/>
        <w:rPr>
          <w:rFonts w:ascii="Verdana" w:hAnsi="Verdana"/>
          <w:color w:val="000000"/>
          <w:sz w:val="20"/>
          <w:szCs w:val="20"/>
        </w:rPr>
      </w:pPr>
      <w:r w:rsidRPr="00136459">
        <w:rPr>
          <w:rStyle w:val="A3"/>
          <w:rFonts w:ascii="Verdana" w:hAnsi="Verdana"/>
        </w:rPr>
        <w:t>A number of UN bodies and organs deal with the issue of human rights, primarily the High Commissioner for Human Rights and the Human Rights Council. There are also certain treaty-based bodies whose purview encompasses human rights issues (including the Human Rights Committee; the Committee on Economic, Social, and Cultural Rights; Committee on the Elimination of Racial Discrimination; the Committee Against Torture; and Subcommittee on the Prevention of Torture; the Committee on the Rights of the Child; the Committee on Migrant Workers; and the Committee on the Rights of Persons with Disabilities). Some regional bodies also deal with human rights issues, such as the European Court of Human Rights and the Inter-American Court of Human Rights.</w:t>
      </w:r>
    </w:p>
    <w:p w:rsidR="00AC0FBF" w:rsidRPr="00136459" w:rsidRDefault="00AC0FBF" w:rsidP="00AC0FBF">
      <w:pPr>
        <w:pStyle w:val="Pa0"/>
        <w:rPr>
          <w:rStyle w:val="A3"/>
          <w:rFonts w:ascii="Verdana" w:hAnsi="Verdana"/>
        </w:rPr>
      </w:pPr>
    </w:p>
    <w:p w:rsidR="00AC0FBF" w:rsidRPr="00136459" w:rsidRDefault="00AC0FBF" w:rsidP="00AC0FBF">
      <w:pPr>
        <w:pStyle w:val="Pa0"/>
        <w:rPr>
          <w:rFonts w:ascii="Verdana" w:hAnsi="Verdana"/>
          <w:color w:val="000000"/>
          <w:sz w:val="20"/>
          <w:szCs w:val="20"/>
        </w:rPr>
      </w:pPr>
      <w:r w:rsidRPr="00136459">
        <w:rPr>
          <w:rStyle w:val="A3"/>
          <w:rFonts w:ascii="Verdana" w:hAnsi="Verdana"/>
        </w:rPr>
        <w:t xml:space="preserve">Historically, the Third Committee’s discussion has focused on such issues as the advancement of women, the protection of children, indigenous issues, the treatment of refugees, the promotion of fundamental freedoms through the elimination of racism and racial discrimination, and the promotion of the right to self-determination. Through the work of the Third Committee and other UN organs, significant gains have been made such as the suspension of executions, release of detainees and medical treatment for prisoners, as well as changes in the domestic legal system of States which are parties to human rights instruments such as the UDHR. Some states, however, have come to view the rapid expanse of human rights and their administration as impositions on the sovereign right to establish independent, national legal systems. </w:t>
      </w:r>
    </w:p>
    <w:p w:rsidR="00AC0FBF" w:rsidRPr="00136459" w:rsidRDefault="00AC0FBF" w:rsidP="00AC0FBF">
      <w:pPr>
        <w:pStyle w:val="Pa0"/>
        <w:rPr>
          <w:rStyle w:val="A3"/>
          <w:rFonts w:ascii="Verdana" w:hAnsi="Verdana"/>
        </w:rPr>
      </w:pPr>
    </w:p>
    <w:p w:rsidR="00AC0FBF" w:rsidRPr="00136459" w:rsidRDefault="00AC0FBF" w:rsidP="00AC0FBF">
      <w:pPr>
        <w:pStyle w:val="Pa0"/>
        <w:rPr>
          <w:rFonts w:ascii="Verdana" w:hAnsi="Verdana"/>
          <w:color w:val="000000"/>
          <w:sz w:val="20"/>
          <w:szCs w:val="20"/>
        </w:rPr>
      </w:pPr>
      <w:r w:rsidRPr="00136459">
        <w:rPr>
          <w:rStyle w:val="A3"/>
          <w:rFonts w:ascii="Verdana" w:hAnsi="Verdana"/>
        </w:rPr>
        <w:t xml:space="preserve">The administration of human rights in the context of justice presents many challenges. There is a serious need for greater technical assistance to strengthen infrastructure in countries that often look to UN programs for such support. Recently the Third Committee has focused on drawing particular attention to the issues of incarceration, arrest, investigation, and treatment before tribunals as it relates to the rights of women and children. Administration of justice in post-conflict situations and the human rights of migrants have also attracted significant attention due to some of the problems that remain in those fields. In the wake of conflict, often the institutions necessary for adequate protection of human rights are not present, increasing the likelihood that those rights might be violated in the administration of justice. Migrant workers similarly have fewer protections due to lack of political representation and sometimes questionable legal status. </w:t>
      </w:r>
    </w:p>
    <w:p w:rsidR="00AC0FBF" w:rsidRPr="00136459" w:rsidRDefault="00AC0FBF" w:rsidP="00AC0FBF">
      <w:pPr>
        <w:pStyle w:val="Pa0"/>
        <w:rPr>
          <w:rStyle w:val="A3"/>
          <w:rFonts w:ascii="Verdana" w:hAnsi="Verdana"/>
        </w:rPr>
      </w:pPr>
    </w:p>
    <w:p w:rsidR="00AC0FBF" w:rsidRPr="00136459" w:rsidRDefault="00AC0FBF" w:rsidP="00AC0FBF">
      <w:pPr>
        <w:pStyle w:val="Pa0"/>
        <w:rPr>
          <w:rStyle w:val="A3"/>
          <w:rFonts w:ascii="Verdana" w:hAnsi="Verdana"/>
        </w:rPr>
      </w:pPr>
      <w:r w:rsidRPr="00136459">
        <w:rPr>
          <w:rStyle w:val="A3"/>
          <w:rFonts w:ascii="Verdana" w:hAnsi="Verdana"/>
        </w:rPr>
        <w:t xml:space="preserve">Past resolutions have urged States to provide training, including gender-sensitivity training, in the field of juvenile justice to all law and social work professionals. Several resolutions have addressed human rights abuses in particular regions, such as those suffered by migrant workers in Afghanistan, the occupied Palestinian territories, Myanmar, the Democratic People’s Republic of Korea, and the Democratic Republic of the Congo. In March 2008 the committee addressed devoting “particular attention to the issue of women in prison, including the children of women in prison, with a view to identifying and addressing the gender-specific aspects and challenges related to this problem.” Yet another resolution </w:t>
      </w:r>
      <w:r w:rsidRPr="00136459">
        <w:rPr>
          <w:rStyle w:val="A3"/>
          <w:rFonts w:ascii="Verdana" w:hAnsi="Verdana"/>
        </w:rPr>
        <w:lastRenderedPageBreak/>
        <w:t>focused the Third Committee’s discussion on reform in the juvenile justice system, strengthening structures for the maintaining justice in post-conflict situations, and development of further training, resources, and common indicators as it relates to the administration of justice. Additionally, the Committee has addressed the gender specific challenges inherent in the administration of justice, including providing gender-sensitivity training at all levels.</w:t>
      </w:r>
    </w:p>
    <w:p w:rsidR="00AC0FBF" w:rsidRPr="00136459" w:rsidRDefault="00AC0FBF" w:rsidP="00AC0FBF">
      <w:pPr>
        <w:pStyle w:val="Default"/>
        <w:rPr>
          <w:rFonts w:ascii="Verdana" w:hAnsi="Verdana"/>
          <w:sz w:val="20"/>
          <w:szCs w:val="20"/>
        </w:rPr>
      </w:pPr>
    </w:p>
    <w:p w:rsidR="00AC0FBF" w:rsidRDefault="00AC0FBF" w:rsidP="00AC0FBF">
      <w:pPr>
        <w:pStyle w:val="Pa0"/>
        <w:rPr>
          <w:rStyle w:val="A3"/>
          <w:rFonts w:ascii="Verdana" w:hAnsi="Verdana"/>
          <w:color w:val="auto"/>
        </w:rPr>
      </w:pPr>
      <w:r w:rsidRPr="00136459">
        <w:rPr>
          <w:rStyle w:val="A3"/>
          <w:rFonts w:ascii="Verdana" w:hAnsi="Verdana"/>
        </w:rPr>
        <w:t xml:space="preserve">In a 2007 report, the Secretary-General provided information on practical measures taken and planned activities to assist countries in strengthening their systems of administration of justice in juvenile justice, including in post-conflict situations, and gave a range of </w:t>
      </w:r>
      <w:r w:rsidRPr="00136459">
        <w:rPr>
          <w:rStyle w:val="A3"/>
          <w:rFonts w:ascii="Verdana" w:hAnsi="Verdana"/>
          <w:color w:val="auto"/>
        </w:rPr>
        <w:t xml:space="preserve">examples of how assistance is delivered under a variety of conditions. The need for technical assistance and training of officials, as well as the various needs to focus on the concerns of rights of women and children in prison, the establishment of justice in post-conflict situations, and child justice reform will be important and often competing goals in current and future resolutions. </w:t>
      </w:r>
    </w:p>
    <w:p w:rsidR="00136459" w:rsidRPr="00136459" w:rsidRDefault="00136459" w:rsidP="00136459">
      <w:pPr>
        <w:pStyle w:val="Default"/>
      </w:pPr>
    </w:p>
    <w:p w:rsidR="00AC0FBF" w:rsidRPr="00136459" w:rsidRDefault="00AC0FBF" w:rsidP="00AC0FBF">
      <w:pPr>
        <w:pStyle w:val="Default"/>
        <w:rPr>
          <w:rFonts w:ascii="Verdana" w:hAnsi="Verdana"/>
          <w:sz w:val="20"/>
          <w:szCs w:val="20"/>
        </w:rPr>
      </w:pPr>
    </w:p>
    <w:p w:rsidR="00AC0FBF" w:rsidRPr="00136459" w:rsidRDefault="00AC0FBF" w:rsidP="00AC0FBF">
      <w:pPr>
        <w:pStyle w:val="Pa0"/>
        <w:rPr>
          <w:rStyle w:val="A3"/>
          <w:rFonts w:ascii="Verdana" w:hAnsi="Verdana"/>
          <w:b/>
          <w:color w:val="auto"/>
        </w:rPr>
      </w:pPr>
      <w:r w:rsidRPr="00136459">
        <w:rPr>
          <w:rStyle w:val="A3"/>
          <w:rFonts w:ascii="Verdana" w:hAnsi="Verdana"/>
          <w:b/>
          <w:color w:val="auto"/>
        </w:rPr>
        <w:t>Questions to consider from your government’s perspective on this issue include:</w:t>
      </w:r>
    </w:p>
    <w:p w:rsidR="00AC0FBF" w:rsidRPr="00136459" w:rsidRDefault="00AC0FBF" w:rsidP="00AC0FBF">
      <w:pPr>
        <w:pStyle w:val="Default"/>
        <w:rPr>
          <w:rFonts w:ascii="Verdana" w:hAnsi="Verdana"/>
          <w:sz w:val="20"/>
          <w:szCs w:val="20"/>
        </w:rPr>
      </w:pPr>
    </w:p>
    <w:p w:rsidR="00AC0FBF" w:rsidRPr="00136459" w:rsidRDefault="00AC0FBF" w:rsidP="00136459">
      <w:pPr>
        <w:pStyle w:val="Pa2"/>
        <w:tabs>
          <w:tab w:val="left" w:pos="180"/>
        </w:tabs>
        <w:ind w:left="180" w:hanging="180"/>
        <w:rPr>
          <w:rFonts w:ascii="Verdana" w:hAnsi="Verdana"/>
          <w:sz w:val="20"/>
          <w:szCs w:val="20"/>
        </w:rPr>
      </w:pPr>
      <w:r w:rsidRPr="00136459">
        <w:rPr>
          <w:rFonts w:ascii="Verdana" w:hAnsi="Verdana"/>
          <w:sz w:val="20"/>
          <w:szCs w:val="20"/>
        </w:rPr>
        <w:t xml:space="preserve">• What resources can be drawn upon to advance reform in the juvenile justice system among States? </w:t>
      </w:r>
      <w:r w:rsidR="00136459">
        <w:rPr>
          <w:rFonts w:ascii="Verdana" w:hAnsi="Verdana"/>
          <w:sz w:val="20"/>
          <w:szCs w:val="20"/>
        </w:rPr>
        <w:br/>
      </w:r>
    </w:p>
    <w:p w:rsidR="00AC0FBF" w:rsidRPr="00136459" w:rsidRDefault="00AC0FBF" w:rsidP="00136459">
      <w:pPr>
        <w:pStyle w:val="Pa2"/>
        <w:tabs>
          <w:tab w:val="left" w:pos="180"/>
        </w:tabs>
        <w:ind w:left="180" w:hanging="180"/>
        <w:rPr>
          <w:rFonts w:ascii="Verdana" w:hAnsi="Verdana"/>
          <w:sz w:val="20"/>
          <w:szCs w:val="20"/>
        </w:rPr>
      </w:pPr>
      <w:r w:rsidRPr="00136459">
        <w:rPr>
          <w:rFonts w:ascii="Verdana" w:hAnsi="Verdana"/>
          <w:sz w:val="20"/>
          <w:szCs w:val="20"/>
        </w:rPr>
        <w:t xml:space="preserve">• What tools are needed to address human rights violations for women in prison and their children? How can these tools be provided to States? </w:t>
      </w:r>
      <w:r w:rsidR="00136459">
        <w:rPr>
          <w:rFonts w:ascii="Verdana" w:hAnsi="Verdana"/>
          <w:sz w:val="20"/>
          <w:szCs w:val="20"/>
        </w:rPr>
        <w:br/>
      </w:r>
    </w:p>
    <w:p w:rsidR="00AC0FBF" w:rsidRPr="00136459" w:rsidRDefault="00AC0FBF" w:rsidP="00136459">
      <w:pPr>
        <w:pStyle w:val="Pa2"/>
        <w:tabs>
          <w:tab w:val="left" w:pos="180"/>
        </w:tabs>
        <w:ind w:left="180" w:hanging="180"/>
        <w:rPr>
          <w:rFonts w:ascii="Verdana" w:hAnsi="Verdana"/>
          <w:sz w:val="20"/>
          <w:szCs w:val="20"/>
        </w:rPr>
      </w:pPr>
      <w:r w:rsidRPr="00136459">
        <w:rPr>
          <w:rFonts w:ascii="Verdana" w:hAnsi="Verdana"/>
          <w:sz w:val="20"/>
          <w:szCs w:val="20"/>
        </w:rPr>
        <w:t xml:space="preserve">• What current monitoring mechanisms have been successful? Are there other methods of monitoring human rights abuses in the justice context? What role should the Human Rights Council play in this process? </w:t>
      </w:r>
      <w:r w:rsidR="00136459">
        <w:rPr>
          <w:rFonts w:ascii="Verdana" w:hAnsi="Verdana"/>
          <w:sz w:val="20"/>
          <w:szCs w:val="20"/>
        </w:rPr>
        <w:br/>
      </w:r>
    </w:p>
    <w:p w:rsidR="00136459" w:rsidRDefault="00AC0FBF" w:rsidP="00136459">
      <w:pPr>
        <w:pStyle w:val="Pa2"/>
        <w:tabs>
          <w:tab w:val="left" w:pos="180"/>
        </w:tabs>
        <w:ind w:left="180" w:hanging="180"/>
      </w:pPr>
      <w:r w:rsidRPr="00136459">
        <w:rPr>
          <w:rFonts w:ascii="Verdana" w:hAnsi="Verdana"/>
          <w:sz w:val="20"/>
          <w:szCs w:val="20"/>
        </w:rPr>
        <w:t xml:space="preserve">• What can be done to encourage Member States to dedicate the financial resources necessary to provide technical and training assistance to improve the establishment of justice in States? </w:t>
      </w:r>
    </w:p>
    <w:p w:rsidR="00136459" w:rsidRPr="00136459" w:rsidRDefault="00136459" w:rsidP="00136459">
      <w:pPr>
        <w:pStyle w:val="Default"/>
      </w:pPr>
    </w:p>
    <w:p w:rsidR="00AC0FBF" w:rsidRPr="00136459" w:rsidRDefault="00AC0FBF" w:rsidP="00AC0FBF">
      <w:pPr>
        <w:pStyle w:val="Default"/>
        <w:rPr>
          <w:rFonts w:ascii="Verdana" w:hAnsi="Verdana"/>
          <w:sz w:val="20"/>
          <w:szCs w:val="20"/>
        </w:rPr>
      </w:pPr>
    </w:p>
    <w:p w:rsidR="00AC0FBF" w:rsidRPr="00136459" w:rsidRDefault="00AC0FBF" w:rsidP="00136459">
      <w:pPr>
        <w:pStyle w:val="Pa0"/>
        <w:tabs>
          <w:tab w:val="left" w:pos="1974"/>
        </w:tabs>
        <w:rPr>
          <w:rFonts w:ascii="Verdana" w:hAnsi="Verdana"/>
          <w:sz w:val="20"/>
          <w:szCs w:val="20"/>
        </w:rPr>
      </w:pPr>
      <w:r w:rsidRPr="00136459">
        <w:rPr>
          <w:rStyle w:val="A4"/>
          <w:rFonts w:ascii="Verdana" w:hAnsi="Verdana"/>
          <w:color w:val="auto"/>
          <w:sz w:val="20"/>
          <w:szCs w:val="20"/>
        </w:rPr>
        <w:t xml:space="preserve">Bibliography: </w:t>
      </w:r>
      <w:r w:rsidR="00136459">
        <w:rPr>
          <w:rStyle w:val="A4"/>
          <w:rFonts w:ascii="Verdana" w:hAnsi="Verdana"/>
          <w:color w:val="auto"/>
          <w:sz w:val="20"/>
          <w:szCs w:val="20"/>
        </w:rPr>
        <w:tab/>
      </w:r>
      <w:r w:rsidR="00136459">
        <w:rPr>
          <w:rStyle w:val="A4"/>
          <w:rFonts w:ascii="Verdana" w:hAnsi="Verdana"/>
          <w:color w:val="auto"/>
          <w:sz w:val="20"/>
          <w:szCs w:val="20"/>
        </w:rPr>
        <w:br/>
      </w:r>
    </w:p>
    <w:p w:rsidR="00AC0FBF" w:rsidRPr="00136459" w:rsidRDefault="00AC0FBF" w:rsidP="00AC0FBF">
      <w:pPr>
        <w:pStyle w:val="Pa3"/>
        <w:ind w:left="360" w:hanging="360"/>
        <w:rPr>
          <w:rFonts w:ascii="Verdana" w:hAnsi="Verdana"/>
          <w:sz w:val="20"/>
          <w:szCs w:val="20"/>
        </w:rPr>
      </w:pPr>
      <w:r w:rsidRPr="00136459">
        <w:rPr>
          <w:rFonts w:ascii="Verdana" w:hAnsi="Verdana"/>
          <w:sz w:val="20"/>
          <w:szCs w:val="20"/>
        </w:rPr>
        <w:t xml:space="preserve">Abou-Alsamh, Rashid. “Saudi Rape Case Spurs Calls for Reform,” </w:t>
      </w:r>
      <w:r w:rsidRPr="00136459">
        <w:rPr>
          <w:rFonts w:ascii="Verdana" w:hAnsi="Verdana"/>
          <w:i/>
          <w:iCs/>
          <w:sz w:val="20"/>
          <w:szCs w:val="20"/>
        </w:rPr>
        <w:t>The New York Times</w:t>
      </w:r>
      <w:r w:rsidRPr="00136459">
        <w:rPr>
          <w:rFonts w:ascii="Verdana" w:hAnsi="Verdana"/>
          <w:sz w:val="20"/>
          <w:szCs w:val="20"/>
        </w:rPr>
        <w:t>, 1 December 2007, http://www.nytimes.com.</w:t>
      </w:r>
    </w:p>
    <w:p w:rsidR="00AC0FBF" w:rsidRPr="00136459" w:rsidRDefault="00AC0FBF" w:rsidP="00AC0FBF">
      <w:pPr>
        <w:pStyle w:val="Pa3"/>
        <w:ind w:left="360" w:hanging="360"/>
        <w:rPr>
          <w:rFonts w:ascii="Verdana" w:hAnsi="Verdana"/>
          <w:sz w:val="20"/>
          <w:szCs w:val="20"/>
        </w:rPr>
      </w:pPr>
      <w:r w:rsidRPr="00136459">
        <w:rPr>
          <w:rFonts w:ascii="Verdana" w:hAnsi="Verdana"/>
          <w:sz w:val="20"/>
          <w:szCs w:val="20"/>
        </w:rPr>
        <w:t>Dannheisser, Ralph, “U.S. Welcomes U.N. Call for Improved Human Rights in Four Nations,” america.gov, 26 November 2006.</w:t>
      </w:r>
    </w:p>
    <w:p w:rsidR="00AC0FBF" w:rsidRPr="00136459" w:rsidRDefault="00AC0FBF" w:rsidP="00AC0FBF">
      <w:pPr>
        <w:pStyle w:val="Pa3"/>
        <w:ind w:left="360" w:hanging="360"/>
        <w:rPr>
          <w:rFonts w:ascii="Verdana" w:hAnsi="Verdana"/>
          <w:sz w:val="20"/>
          <w:szCs w:val="20"/>
        </w:rPr>
      </w:pPr>
      <w:r w:rsidRPr="00136459">
        <w:rPr>
          <w:rFonts w:ascii="Verdana" w:hAnsi="Verdana"/>
          <w:sz w:val="20"/>
          <w:szCs w:val="20"/>
        </w:rPr>
        <w:t>“Human Rights in the Administration of Justice: A Manual on Human Rights for Judges, Prosecutors and Lawyers,” OHCHR in Cooperation with the International Bar Association, www1.umn.edu/humanrts/monitoring/hradmin.html.</w:t>
      </w:r>
    </w:p>
    <w:p w:rsidR="00AC0FBF" w:rsidRPr="00136459" w:rsidRDefault="00AC0FBF" w:rsidP="00AC0FBF">
      <w:pPr>
        <w:pStyle w:val="Pa3"/>
        <w:ind w:left="360" w:hanging="360"/>
        <w:rPr>
          <w:rFonts w:ascii="Verdana" w:hAnsi="Verdana"/>
          <w:sz w:val="20"/>
          <w:szCs w:val="20"/>
        </w:rPr>
      </w:pPr>
      <w:r w:rsidRPr="00136459">
        <w:rPr>
          <w:rFonts w:ascii="Verdana" w:hAnsi="Verdana"/>
          <w:sz w:val="20"/>
          <w:szCs w:val="20"/>
        </w:rPr>
        <w:t>“In Third Committee, Human Rights Experts Urge Stronger Action by International Community to Counter Violations,” Press Release GA/SHC/3794, 29 October 2004, www.unis.unvienna.org.</w:t>
      </w:r>
    </w:p>
    <w:p w:rsidR="00AC0FBF" w:rsidRPr="00136459" w:rsidRDefault="00AC0FBF" w:rsidP="00AC0FBF">
      <w:pPr>
        <w:pStyle w:val="Pa3"/>
        <w:ind w:left="360"/>
        <w:rPr>
          <w:rFonts w:ascii="Verdana" w:hAnsi="Verdana"/>
          <w:sz w:val="20"/>
          <w:szCs w:val="20"/>
        </w:rPr>
      </w:pPr>
      <w:r w:rsidRPr="00136459">
        <w:rPr>
          <w:rFonts w:ascii="Verdana" w:hAnsi="Verdana"/>
          <w:sz w:val="20"/>
          <w:szCs w:val="20"/>
        </w:rPr>
        <w:t>“Right to Development, Girl Child, Protection of Migrants among Issues Addressed, as Third Committee Adopts Six Texts, Concludes Current Session,” Press Release GH/SHC/3912, 28 November 2007, www.un.org.</w:t>
      </w:r>
    </w:p>
    <w:p w:rsidR="00AC0FBF" w:rsidRPr="00136459" w:rsidRDefault="00AC0FBF" w:rsidP="00AC0FBF">
      <w:pPr>
        <w:pStyle w:val="Pa3"/>
        <w:ind w:left="360"/>
        <w:rPr>
          <w:rFonts w:ascii="Verdana" w:hAnsi="Verdana"/>
          <w:sz w:val="20"/>
          <w:szCs w:val="20"/>
        </w:rPr>
      </w:pPr>
      <w:r w:rsidRPr="00136459">
        <w:rPr>
          <w:rFonts w:ascii="Verdana" w:hAnsi="Verdana"/>
          <w:sz w:val="20"/>
          <w:szCs w:val="20"/>
        </w:rPr>
        <w:t>“Two-day Deliberations End with Contentious Resolution Calling for Moratorium on Use of Death Penalty Approved by Third Committee after Vote,” Press Release GH/SHC/3906, 15 November 2007, www.un.org.</w:t>
      </w:r>
    </w:p>
    <w:p w:rsidR="00AC0FBF" w:rsidRPr="00136459" w:rsidRDefault="00AC0FBF" w:rsidP="00AC0FBF">
      <w:pPr>
        <w:pStyle w:val="Pa3"/>
        <w:ind w:left="360"/>
        <w:rPr>
          <w:rFonts w:ascii="Verdana" w:hAnsi="Verdana"/>
          <w:sz w:val="20"/>
          <w:szCs w:val="20"/>
        </w:rPr>
      </w:pPr>
      <w:r w:rsidRPr="00136459">
        <w:rPr>
          <w:rFonts w:ascii="Verdana" w:hAnsi="Verdana"/>
          <w:sz w:val="20"/>
          <w:szCs w:val="20"/>
        </w:rPr>
        <w:lastRenderedPageBreak/>
        <w:t xml:space="preserve">Wines, Michael. “For Young Offenders, Justice as Impoverished as Africa,” </w:t>
      </w:r>
      <w:r w:rsidRPr="00136459">
        <w:rPr>
          <w:rFonts w:ascii="Verdana" w:hAnsi="Verdana"/>
          <w:i/>
          <w:iCs/>
          <w:sz w:val="20"/>
          <w:szCs w:val="20"/>
        </w:rPr>
        <w:t>The New York Times</w:t>
      </w:r>
      <w:r w:rsidRPr="00136459">
        <w:rPr>
          <w:rFonts w:ascii="Verdana" w:hAnsi="Verdana"/>
          <w:sz w:val="20"/>
          <w:szCs w:val="20"/>
        </w:rPr>
        <w:t xml:space="preserve">, 24 December 2006, </w:t>
      </w:r>
      <w:hyperlink r:id="rId7" w:history="1">
        <w:r w:rsidRPr="00136459">
          <w:rPr>
            <w:rStyle w:val="Hyperlink"/>
            <w:rFonts w:ascii="Verdana" w:hAnsi="Verdana"/>
            <w:sz w:val="20"/>
            <w:szCs w:val="20"/>
          </w:rPr>
          <w:t>www.nytimes.com</w:t>
        </w:r>
      </w:hyperlink>
      <w:r w:rsidRPr="00136459">
        <w:rPr>
          <w:rFonts w:ascii="Verdana" w:hAnsi="Verdana"/>
          <w:sz w:val="20"/>
          <w:szCs w:val="20"/>
        </w:rPr>
        <w:t>.</w:t>
      </w:r>
      <w:r w:rsidR="00136459">
        <w:rPr>
          <w:rFonts w:ascii="Verdana" w:hAnsi="Verdana"/>
          <w:sz w:val="20"/>
          <w:szCs w:val="20"/>
        </w:rPr>
        <w:br/>
      </w:r>
    </w:p>
    <w:p w:rsidR="00AC0FBF" w:rsidRPr="00136459" w:rsidRDefault="00AC0FBF" w:rsidP="00AC0FBF">
      <w:pPr>
        <w:pStyle w:val="Default"/>
        <w:rPr>
          <w:rFonts w:ascii="Verdana" w:hAnsi="Verdana"/>
          <w:sz w:val="20"/>
          <w:szCs w:val="20"/>
        </w:rPr>
      </w:pPr>
    </w:p>
    <w:p w:rsidR="00AC0FBF" w:rsidRPr="00136459" w:rsidRDefault="00AC0FBF" w:rsidP="00AC0FBF">
      <w:pPr>
        <w:pStyle w:val="Pa3"/>
        <w:rPr>
          <w:rFonts w:ascii="Verdana" w:hAnsi="Verdana"/>
          <w:sz w:val="20"/>
          <w:szCs w:val="20"/>
        </w:rPr>
      </w:pPr>
      <w:r w:rsidRPr="00136459">
        <w:rPr>
          <w:rStyle w:val="A4"/>
          <w:rFonts w:ascii="Verdana" w:hAnsi="Verdana"/>
          <w:color w:val="auto"/>
          <w:sz w:val="20"/>
          <w:szCs w:val="20"/>
        </w:rPr>
        <w:t>UN Documents:</w:t>
      </w:r>
      <w:r w:rsidR="00136459">
        <w:rPr>
          <w:rStyle w:val="A4"/>
          <w:rFonts w:ascii="Verdana" w:hAnsi="Verdana"/>
          <w:color w:val="auto"/>
          <w:sz w:val="20"/>
          <w:szCs w:val="20"/>
        </w:rPr>
        <w:br/>
      </w:r>
    </w:p>
    <w:p w:rsidR="00AC0FBF" w:rsidRPr="00136459" w:rsidRDefault="00AC0FBF" w:rsidP="00AC0FBF">
      <w:pPr>
        <w:pStyle w:val="Pa3"/>
        <w:rPr>
          <w:rFonts w:ascii="Verdana" w:hAnsi="Verdana"/>
          <w:sz w:val="20"/>
          <w:szCs w:val="20"/>
        </w:rPr>
      </w:pPr>
      <w:r w:rsidRPr="00136459">
        <w:rPr>
          <w:rFonts w:ascii="Verdana" w:hAnsi="Verdana"/>
          <w:sz w:val="20"/>
          <w:szCs w:val="20"/>
        </w:rPr>
        <w:t>A/61/384</w:t>
      </w:r>
    </w:p>
    <w:p w:rsidR="00AC0FBF" w:rsidRPr="00136459" w:rsidRDefault="00AC0FBF" w:rsidP="00AC0FBF">
      <w:pPr>
        <w:pStyle w:val="Pa3"/>
        <w:rPr>
          <w:rFonts w:ascii="Verdana" w:hAnsi="Verdana"/>
          <w:sz w:val="20"/>
          <w:szCs w:val="20"/>
        </w:rPr>
      </w:pPr>
      <w:r w:rsidRPr="00136459">
        <w:rPr>
          <w:rFonts w:ascii="Verdana" w:hAnsi="Verdana"/>
          <w:sz w:val="20"/>
          <w:szCs w:val="20"/>
        </w:rPr>
        <w:t>A/54/340</w:t>
      </w:r>
    </w:p>
    <w:p w:rsidR="00AC0FBF" w:rsidRPr="00136459" w:rsidRDefault="00AC0FBF" w:rsidP="00AC0FBF">
      <w:pPr>
        <w:pStyle w:val="Pa3"/>
        <w:rPr>
          <w:rFonts w:ascii="Verdana" w:hAnsi="Verdana"/>
          <w:sz w:val="20"/>
          <w:szCs w:val="20"/>
        </w:rPr>
      </w:pPr>
      <w:r w:rsidRPr="00136459">
        <w:rPr>
          <w:rFonts w:ascii="Verdana" w:hAnsi="Verdana"/>
          <w:sz w:val="20"/>
          <w:szCs w:val="20"/>
        </w:rPr>
        <w:t>A/C.3/62/L.45</w:t>
      </w:r>
    </w:p>
    <w:p w:rsidR="00AC0FBF" w:rsidRPr="00136459" w:rsidRDefault="00AC0FBF" w:rsidP="00AC0FBF">
      <w:pPr>
        <w:pStyle w:val="Pa3"/>
        <w:rPr>
          <w:rFonts w:ascii="Verdana" w:hAnsi="Verdana"/>
          <w:sz w:val="20"/>
          <w:szCs w:val="20"/>
        </w:rPr>
      </w:pPr>
      <w:r w:rsidRPr="00136459">
        <w:rPr>
          <w:rFonts w:ascii="Verdana" w:hAnsi="Verdana"/>
          <w:sz w:val="20"/>
          <w:szCs w:val="20"/>
        </w:rPr>
        <w:t xml:space="preserve">A/HRC/4/102 </w:t>
      </w:r>
    </w:p>
    <w:p w:rsidR="00AC0FBF" w:rsidRPr="00136459" w:rsidRDefault="00AC0FBF" w:rsidP="00AC0FBF">
      <w:pPr>
        <w:pStyle w:val="Pa3"/>
        <w:rPr>
          <w:rFonts w:ascii="Verdana" w:hAnsi="Verdana"/>
          <w:sz w:val="20"/>
          <w:szCs w:val="20"/>
        </w:rPr>
      </w:pPr>
      <w:r w:rsidRPr="00136459">
        <w:rPr>
          <w:rFonts w:ascii="Verdana" w:hAnsi="Verdana"/>
          <w:sz w:val="20"/>
          <w:szCs w:val="20"/>
        </w:rPr>
        <w:t xml:space="preserve">A/RES/62/158 </w:t>
      </w:r>
    </w:p>
    <w:p w:rsidR="00AC0FBF" w:rsidRPr="00136459" w:rsidRDefault="00AC0FBF" w:rsidP="00AC0FBF">
      <w:pPr>
        <w:pStyle w:val="Pa3"/>
        <w:rPr>
          <w:rFonts w:ascii="Verdana" w:hAnsi="Verdana"/>
          <w:sz w:val="20"/>
          <w:szCs w:val="20"/>
        </w:rPr>
      </w:pPr>
      <w:r w:rsidRPr="00136459">
        <w:rPr>
          <w:rFonts w:ascii="Verdana" w:hAnsi="Verdana"/>
          <w:sz w:val="20"/>
          <w:szCs w:val="20"/>
        </w:rPr>
        <w:t>A/RES/61/181</w:t>
      </w:r>
    </w:p>
    <w:p w:rsidR="00AC0FBF" w:rsidRPr="00136459" w:rsidRDefault="00AC0FBF" w:rsidP="00AC0FBF">
      <w:pPr>
        <w:pStyle w:val="Pa3"/>
        <w:rPr>
          <w:rFonts w:ascii="Verdana" w:hAnsi="Verdana"/>
          <w:sz w:val="20"/>
          <w:szCs w:val="20"/>
        </w:rPr>
      </w:pPr>
      <w:r w:rsidRPr="00136459">
        <w:rPr>
          <w:rFonts w:ascii="Verdana" w:hAnsi="Verdana"/>
          <w:sz w:val="20"/>
          <w:szCs w:val="20"/>
        </w:rPr>
        <w:t xml:space="preserve">A/RES/60/159 </w:t>
      </w:r>
    </w:p>
    <w:p w:rsidR="00AC0FBF" w:rsidRPr="00136459" w:rsidRDefault="00AC0FBF" w:rsidP="00AC0FBF">
      <w:pPr>
        <w:pStyle w:val="Pa3"/>
        <w:rPr>
          <w:rFonts w:ascii="Verdana" w:hAnsi="Verdana"/>
          <w:sz w:val="20"/>
          <w:szCs w:val="20"/>
        </w:rPr>
      </w:pPr>
      <w:r w:rsidRPr="00136459">
        <w:rPr>
          <w:rFonts w:ascii="Verdana" w:hAnsi="Verdana"/>
          <w:sz w:val="20"/>
          <w:szCs w:val="20"/>
        </w:rPr>
        <w:t>A/RES/58/183</w:t>
      </w:r>
    </w:p>
    <w:p w:rsidR="00AC0FBF" w:rsidRPr="00136459" w:rsidRDefault="00AC0FBF" w:rsidP="00AC0FBF">
      <w:pPr>
        <w:pStyle w:val="Pa3"/>
        <w:rPr>
          <w:rFonts w:ascii="Verdana" w:hAnsi="Verdana"/>
          <w:sz w:val="20"/>
          <w:szCs w:val="20"/>
        </w:rPr>
      </w:pPr>
      <w:r w:rsidRPr="00136459">
        <w:rPr>
          <w:rFonts w:ascii="Verdana" w:hAnsi="Verdana"/>
          <w:sz w:val="20"/>
          <w:szCs w:val="20"/>
        </w:rPr>
        <w:t>A/RES/56/161</w:t>
      </w:r>
    </w:p>
    <w:p w:rsidR="00AC0FBF" w:rsidRPr="00136459" w:rsidRDefault="00AC0FBF" w:rsidP="00AC0FBF">
      <w:pPr>
        <w:pStyle w:val="Pa3"/>
        <w:rPr>
          <w:rFonts w:ascii="Verdana" w:hAnsi="Verdana"/>
          <w:sz w:val="20"/>
          <w:szCs w:val="20"/>
        </w:rPr>
      </w:pPr>
      <w:r w:rsidRPr="00136459">
        <w:rPr>
          <w:rFonts w:ascii="Verdana" w:hAnsi="Verdana"/>
          <w:sz w:val="20"/>
          <w:szCs w:val="20"/>
        </w:rPr>
        <w:t xml:space="preserve">A/RES/217A </w:t>
      </w:r>
    </w:p>
    <w:p w:rsidR="00AC0FBF" w:rsidRPr="00136459" w:rsidRDefault="00AC0FBF" w:rsidP="00AC0FBF">
      <w:pPr>
        <w:pStyle w:val="Pa3"/>
        <w:rPr>
          <w:rFonts w:ascii="Verdana" w:hAnsi="Verdana"/>
          <w:sz w:val="20"/>
          <w:szCs w:val="20"/>
        </w:rPr>
      </w:pPr>
      <w:r w:rsidRPr="00136459">
        <w:rPr>
          <w:rFonts w:ascii="Verdana" w:hAnsi="Verdana"/>
          <w:sz w:val="20"/>
          <w:szCs w:val="20"/>
        </w:rPr>
        <w:t xml:space="preserve">E/2004/23 </w:t>
      </w:r>
    </w:p>
    <w:p w:rsidR="00AC0FBF" w:rsidRPr="00136459" w:rsidRDefault="00AC0FBF" w:rsidP="00136459">
      <w:pPr>
        <w:pStyle w:val="Pa3"/>
        <w:tabs>
          <w:tab w:val="center" w:pos="4680"/>
        </w:tabs>
        <w:rPr>
          <w:rFonts w:ascii="Verdana" w:hAnsi="Verdana"/>
          <w:sz w:val="20"/>
          <w:szCs w:val="20"/>
        </w:rPr>
      </w:pPr>
      <w:r w:rsidRPr="00136459">
        <w:rPr>
          <w:rFonts w:ascii="Verdana" w:hAnsi="Verdana"/>
          <w:sz w:val="20"/>
          <w:szCs w:val="20"/>
        </w:rPr>
        <w:t>Universal Declaration of Human Rights</w:t>
      </w:r>
      <w:r w:rsidR="00136459">
        <w:rPr>
          <w:rFonts w:ascii="Verdana" w:hAnsi="Verdana"/>
          <w:sz w:val="20"/>
          <w:szCs w:val="20"/>
        </w:rPr>
        <w:tab/>
      </w:r>
      <w:r w:rsidR="00136459">
        <w:rPr>
          <w:rFonts w:ascii="Verdana" w:hAnsi="Verdana"/>
          <w:sz w:val="20"/>
          <w:szCs w:val="20"/>
        </w:rPr>
        <w:br/>
      </w:r>
    </w:p>
    <w:p w:rsidR="00AC0FBF" w:rsidRPr="00136459" w:rsidRDefault="00AC0FBF" w:rsidP="00AC0FBF">
      <w:pPr>
        <w:pStyle w:val="Default"/>
        <w:rPr>
          <w:rFonts w:ascii="Verdana" w:hAnsi="Verdana"/>
          <w:sz w:val="20"/>
          <w:szCs w:val="20"/>
        </w:rPr>
      </w:pPr>
    </w:p>
    <w:p w:rsidR="00AC0FBF" w:rsidRPr="00136459" w:rsidRDefault="00AC0FBF" w:rsidP="00AC0FBF">
      <w:pPr>
        <w:pStyle w:val="Pa3"/>
        <w:rPr>
          <w:rFonts w:ascii="Verdana" w:hAnsi="Verdana"/>
          <w:sz w:val="20"/>
          <w:szCs w:val="20"/>
        </w:rPr>
      </w:pPr>
      <w:r w:rsidRPr="00136459">
        <w:rPr>
          <w:rStyle w:val="A4"/>
          <w:rFonts w:ascii="Verdana" w:hAnsi="Verdana"/>
          <w:color w:val="auto"/>
          <w:sz w:val="20"/>
          <w:szCs w:val="20"/>
        </w:rPr>
        <w:t>Additional Web Resources:</w:t>
      </w:r>
      <w:r w:rsidR="00136459">
        <w:rPr>
          <w:rStyle w:val="A4"/>
          <w:rFonts w:ascii="Verdana" w:hAnsi="Verdana"/>
          <w:color w:val="auto"/>
          <w:sz w:val="20"/>
          <w:szCs w:val="20"/>
        </w:rPr>
        <w:br/>
      </w:r>
    </w:p>
    <w:p w:rsidR="00AC0FBF" w:rsidRPr="00136459" w:rsidRDefault="00AC0FBF" w:rsidP="00AC0FBF">
      <w:pPr>
        <w:pStyle w:val="Pa3"/>
        <w:rPr>
          <w:rFonts w:ascii="Verdana" w:hAnsi="Verdana"/>
          <w:sz w:val="20"/>
          <w:szCs w:val="20"/>
        </w:rPr>
      </w:pPr>
      <w:r w:rsidRPr="00136459">
        <w:rPr>
          <w:rFonts w:ascii="Verdana" w:hAnsi="Verdana"/>
          <w:sz w:val="20"/>
          <w:szCs w:val="20"/>
        </w:rPr>
        <w:t>www.hrw.org – Human Rights Watch</w:t>
      </w:r>
    </w:p>
    <w:p w:rsidR="00AC0FBF" w:rsidRPr="00136459" w:rsidRDefault="00AC0FBF" w:rsidP="00AC0FBF">
      <w:pPr>
        <w:pStyle w:val="Pa3"/>
        <w:rPr>
          <w:rFonts w:ascii="Verdana" w:hAnsi="Verdana"/>
          <w:sz w:val="20"/>
          <w:szCs w:val="20"/>
        </w:rPr>
      </w:pPr>
      <w:r w:rsidRPr="00136459">
        <w:rPr>
          <w:rFonts w:ascii="Verdana" w:hAnsi="Verdana"/>
          <w:sz w:val="20"/>
          <w:szCs w:val="20"/>
        </w:rPr>
        <w:t>www.ohchr.org – Office of the High Commission for Human Rights</w:t>
      </w:r>
    </w:p>
    <w:p w:rsidR="00763FE1" w:rsidRPr="00136459" w:rsidRDefault="00AC0FBF" w:rsidP="00AC0FBF">
      <w:pPr>
        <w:pStyle w:val="Pa3"/>
        <w:rPr>
          <w:rFonts w:ascii="Verdana" w:hAnsi="Verdana"/>
          <w:sz w:val="20"/>
          <w:szCs w:val="20"/>
        </w:rPr>
      </w:pPr>
      <w:r w:rsidRPr="00136459">
        <w:rPr>
          <w:rFonts w:ascii="Verdana" w:hAnsi="Verdana"/>
          <w:sz w:val="20"/>
          <w:szCs w:val="20"/>
        </w:rPr>
        <w:t>www.un.org/rights/morerights.htm – United Nations Human Rights</w:t>
      </w:r>
    </w:p>
    <w:sectPr w:rsidR="00763FE1" w:rsidRPr="00136459" w:rsidSect="00353DC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4E31" w:rsidRDefault="003E4E31" w:rsidP="00136459">
      <w:pPr>
        <w:spacing w:after="0" w:line="240" w:lineRule="auto"/>
      </w:pPr>
      <w:r>
        <w:separator/>
      </w:r>
    </w:p>
  </w:endnote>
  <w:endnote w:type="continuationSeparator" w:id="1">
    <w:p w:rsidR="003E4E31" w:rsidRDefault="003E4E31" w:rsidP="001364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459" w:rsidRDefault="0013645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5628133"/>
      <w:docPartObj>
        <w:docPartGallery w:val="Page Numbers (Bottom of Page)"/>
        <w:docPartUnique/>
      </w:docPartObj>
    </w:sdtPr>
    <w:sdtContent>
      <w:p w:rsidR="00136459" w:rsidRDefault="00136459">
        <w:pPr>
          <w:pStyle w:val="Footer"/>
          <w:jc w:val="right"/>
        </w:pPr>
        <w:r w:rsidRPr="00136459">
          <w:rPr>
            <w:rFonts w:ascii="Verdana" w:hAnsi="Verdana"/>
            <w:sz w:val="16"/>
            <w:szCs w:val="16"/>
          </w:rPr>
          <w:fldChar w:fldCharType="begin"/>
        </w:r>
        <w:r w:rsidRPr="00136459">
          <w:rPr>
            <w:rFonts w:ascii="Verdana" w:hAnsi="Verdana"/>
            <w:sz w:val="16"/>
            <w:szCs w:val="16"/>
          </w:rPr>
          <w:instrText xml:space="preserve"> PAGE   \* MERGEFORMAT </w:instrText>
        </w:r>
        <w:r w:rsidRPr="00136459">
          <w:rPr>
            <w:rFonts w:ascii="Verdana" w:hAnsi="Verdana"/>
            <w:sz w:val="16"/>
            <w:szCs w:val="16"/>
          </w:rPr>
          <w:fldChar w:fldCharType="separate"/>
        </w:r>
        <w:r>
          <w:rPr>
            <w:rFonts w:ascii="Verdana" w:hAnsi="Verdana"/>
            <w:noProof/>
            <w:sz w:val="16"/>
            <w:szCs w:val="16"/>
          </w:rPr>
          <w:t>1</w:t>
        </w:r>
        <w:r w:rsidRPr="00136459">
          <w:rPr>
            <w:rFonts w:ascii="Verdana" w:hAnsi="Verdana"/>
            <w:sz w:val="16"/>
            <w:szCs w:val="16"/>
          </w:rPr>
          <w:fldChar w:fldCharType="end"/>
        </w:r>
      </w:p>
    </w:sdtContent>
  </w:sdt>
  <w:p w:rsidR="00136459" w:rsidRDefault="0013645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459" w:rsidRDefault="0013645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4E31" w:rsidRDefault="003E4E31" w:rsidP="00136459">
      <w:pPr>
        <w:spacing w:after="0" w:line="240" w:lineRule="auto"/>
      </w:pPr>
      <w:r>
        <w:separator/>
      </w:r>
    </w:p>
  </w:footnote>
  <w:footnote w:type="continuationSeparator" w:id="1">
    <w:p w:rsidR="003E4E31" w:rsidRDefault="003E4E31" w:rsidP="0013645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459" w:rsidRDefault="0013645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459" w:rsidRPr="00136459" w:rsidRDefault="00136459">
    <w:pPr>
      <w:pStyle w:val="Header"/>
      <w:rPr>
        <w:rFonts w:ascii="Verdana" w:hAnsi="Verdana"/>
        <w:sz w:val="16"/>
        <w:szCs w:val="16"/>
      </w:rPr>
    </w:pPr>
    <w:r>
      <w:rPr>
        <w:rFonts w:ascii="Verdana" w:hAnsi="Verdana"/>
        <w:sz w:val="16"/>
        <w:szCs w:val="16"/>
      </w:rPr>
      <w:t>2009 High School Conference Topic Guide</w:t>
    </w:r>
    <w:r w:rsidRPr="00136459">
      <w:rPr>
        <w:rFonts w:ascii="Verdana" w:hAnsi="Verdana"/>
        <w:sz w:val="16"/>
        <w:szCs w:val="16"/>
      </w:rPr>
      <w:ptab w:relativeTo="margin" w:alignment="center" w:leader="none"/>
    </w:r>
    <w:r w:rsidRPr="00136459">
      <w:rPr>
        <w:rFonts w:ascii="Verdana" w:hAnsi="Verdana"/>
        <w:sz w:val="16"/>
        <w:szCs w:val="16"/>
      </w:rPr>
      <w:ptab w:relativeTo="margin" w:alignment="right" w:leader="none"/>
    </w:r>
    <w:r w:rsidRPr="00136459">
      <w:rPr>
        <w:rFonts w:ascii="Verdana" w:hAnsi="Verdana"/>
        <w:sz w:val="16"/>
        <w:szCs w:val="16"/>
      </w:rPr>
      <w:t>Southeast Missouri State University Model United Nations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459" w:rsidRDefault="0013645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29"/>
  <w:defaultTabStop w:val="720"/>
  <w:characterSpacingControl w:val="doNotCompress"/>
  <w:footnotePr>
    <w:footnote w:id="0"/>
    <w:footnote w:id="1"/>
  </w:footnotePr>
  <w:endnotePr>
    <w:endnote w:id="0"/>
    <w:endnote w:id="1"/>
  </w:endnotePr>
  <w:compat/>
  <w:rsids>
    <w:rsidRoot w:val="00AC0FBF"/>
    <w:rsid w:val="00136459"/>
    <w:rsid w:val="00215713"/>
    <w:rsid w:val="00353DCB"/>
    <w:rsid w:val="003E4E31"/>
    <w:rsid w:val="00834F73"/>
    <w:rsid w:val="008A7A0F"/>
    <w:rsid w:val="00AC0FBF"/>
    <w:rsid w:val="00B83504"/>
    <w:rsid w:val="00C004A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DC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C0FB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0">
    <w:name w:val="Pa0"/>
    <w:basedOn w:val="Default"/>
    <w:next w:val="Default"/>
    <w:uiPriority w:val="99"/>
    <w:rsid w:val="00AC0FBF"/>
    <w:pPr>
      <w:spacing w:line="241" w:lineRule="atLeast"/>
    </w:pPr>
    <w:rPr>
      <w:color w:val="auto"/>
    </w:rPr>
  </w:style>
  <w:style w:type="character" w:customStyle="1" w:styleId="A2">
    <w:name w:val="A2"/>
    <w:uiPriority w:val="99"/>
    <w:rsid w:val="00AC0FBF"/>
    <w:rPr>
      <w:b/>
      <w:bCs/>
      <w:color w:val="000000"/>
      <w:sz w:val="30"/>
      <w:szCs w:val="30"/>
    </w:rPr>
  </w:style>
  <w:style w:type="character" w:customStyle="1" w:styleId="A3">
    <w:name w:val="A3"/>
    <w:uiPriority w:val="99"/>
    <w:rsid w:val="00AC0FBF"/>
    <w:rPr>
      <w:color w:val="000000"/>
      <w:sz w:val="20"/>
      <w:szCs w:val="20"/>
    </w:rPr>
  </w:style>
  <w:style w:type="paragraph" w:customStyle="1" w:styleId="Pa1">
    <w:name w:val="Pa1"/>
    <w:basedOn w:val="Default"/>
    <w:next w:val="Default"/>
    <w:uiPriority w:val="99"/>
    <w:rsid w:val="00AC0FBF"/>
    <w:pPr>
      <w:spacing w:line="241" w:lineRule="atLeast"/>
    </w:pPr>
    <w:rPr>
      <w:color w:val="auto"/>
    </w:rPr>
  </w:style>
  <w:style w:type="paragraph" w:customStyle="1" w:styleId="Pa2">
    <w:name w:val="Pa2"/>
    <w:basedOn w:val="Default"/>
    <w:next w:val="Default"/>
    <w:uiPriority w:val="99"/>
    <w:rsid w:val="00AC0FBF"/>
    <w:pPr>
      <w:spacing w:line="201" w:lineRule="atLeast"/>
    </w:pPr>
    <w:rPr>
      <w:color w:val="auto"/>
    </w:rPr>
  </w:style>
  <w:style w:type="character" w:customStyle="1" w:styleId="A4">
    <w:name w:val="A4"/>
    <w:uiPriority w:val="99"/>
    <w:rsid w:val="00AC0FBF"/>
    <w:rPr>
      <w:b/>
      <w:bCs/>
      <w:color w:val="000000"/>
      <w:sz w:val="26"/>
      <w:szCs w:val="26"/>
    </w:rPr>
  </w:style>
  <w:style w:type="paragraph" w:customStyle="1" w:styleId="Pa3">
    <w:name w:val="Pa3"/>
    <w:basedOn w:val="Default"/>
    <w:next w:val="Default"/>
    <w:uiPriority w:val="99"/>
    <w:rsid w:val="00AC0FBF"/>
    <w:pPr>
      <w:spacing w:line="201" w:lineRule="atLeast"/>
    </w:pPr>
    <w:rPr>
      <w:color w:val="auto"/>
    </w:rPr>
  </w:style>
  <w:style w:type="character" w:styleId="Hyperlink">
    <w:name w:val="Hyperlink"/>
    <w:basedOn w:val="DefaultParagraphFont"/>
    <w:uiPriority w:val="99"/>
    <w:unhideWhenUsed/>
    <w:rsid w:val="00AC0FBF"/>
    <w:rPr>
      <w:color w:val="0000FF" w:themeColor="hyperlink"/>
      <w:u w:val="single"/>
    </w:rPr>
  </w:style>
  <w:style w:type="paragraph" w:styleId="Header">
    <w:name w:val="header"/>
    <w:basedOn w:val="Normal"/>
    <w:link w:val="HeaderChar"/>
    <w:uiPriority w:val="99"/>
    <w:semiHidden/>
    <w:unhideWhenUsed/>
    <w:rsid w:val="0013645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36459"/>
  </w:style>
  <w:style w:type="paragraph" w:styleId="Footer">
    <w:name w:val="footer"/>
    <w:basedOn w:val="Normal"/>
    <w:link w:val="FooterChar"/>
    <w:uiPriority w:val="99"/>
    <w:unhideWhenUsed/>
    <w:rsid w:val="001364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6459"/>
  </w:style>
  <w:style w:type="paragraph" w:styleId="BalloonText">
    <w:name w:val="Balloon Text"/>
    <w:basedOn w:val="Normal"/>
    <w:link w:val="BalloonTextChar"/>
    <w:uiPriority w:val="99"/>
    <w:semiHidden/>
    <w:unhideWhenUsed/>
    <w:rsid w:val="001364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645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nytimes.com"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E1564C"/>
    <w:rsid w:val="00776E98"/>
    <w:rsid w:val="00E1564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5BF5D3D4EC346FC8FB0DB53113E831B">
    <w:name w:val="55BF5D3D4EC346FC8FB0DB53113E831B"/>
    <w:rsid w:val="00E1564C"/>
  </w:style>
  <w:style w:type="paragraph" w:customStyle="1" w:styleId="FD82CBB88E32418594AFF9AC230B7B49">
    <w:name w:val="FD82CBB88E32418594AFF9AC230B7B49"/>
    <w:rsid w:val="00E1564C"/>
  </w:style>
  <w:style w:type="paragraph" w:customStyle="1" w:styleId="2E49C9130E8C44899C5853DF34DE379E">
    <w:name w:val="2E49C9130E8C44899C5853DF34DE379E"/>
    <w:rsid w:val="00E1564C"/>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F45372-70A6-46F2-B3C5-E7B350D52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1124</Words>
  <Characters>6412</Characters>
  <Application>Microsoft Office Word</Application>
  <DocSecurity>0</DocSecurity>
  <Lines>53</Lines>
  <Paragraphs>15</Paragraphs>
  <ScaleCrop>false</ScaleCrop>
  <Company>Southeast Missouri State University</Company>
  <LinksUpToDate>false</LinksUpToDate>
  <CharactersWithSpaces>7521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Holzhauer, Debra</dc:creator>
  <cp:keywords/>
  <dc:description/>
  <cp:lastModifiedBy>Stephen Schroeppel</cp:lastModifiedBy>
  <cp:revision>2</cp:revision>
  <dcterms:created xsi:type="dcterms:W3CDTF">2009-09-30T21:41:00Z</dcterms:created>
  <dcterms:modified xsi:type="dcterms:W3CDTF">2009-09-30T21:41:00Z</dcterms:modified>
</cp:coreProperties>
</file>